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after="390" w:line="259" w:lineRule="auto"/>
        <w:ind w:right="0" w:firstLine="0"/>
      </w:pPr>
      <w:bookmarkStart w:id="0" w:name="_Hlk59472836"/>
      <w:r>
        <w:rPr>
          <w:sz w:val="21"/>
        </w:rPr>
        <w:t>附件</w:t>
      </w:r>
      <w:r>
        <w:rPr>
          <w:rFonts w:hint="eastAsia"/>
          <w:sz w:val="21"/>
        </w:rPr>
        <w:t>2</w:t>
      </w:r>
    </w:p>
    <w:p>
      <w:pPr>
        <w:pStyle w:val="2"/>
        <w:spacing w:after="1"/>
        <w:ind w:left="0" w:right="121" w:firstLine="0"/>
        <w:rPr>
          <w:rFonts w:cs="黑体"/>
          <w:sz w:val="32"/>
          <w:szCs w:val="32"/>
        </w:rPr>
      </w:pPr>
      <w:r>
        <w:rPr>
          <w:rFonts w:hint="eastAsia" w:cs="黑体"/>
          <w:sz w:val="32"/>
          <w:szCs w:val="32"/>
        </w:rPr>
        <w:t xml:space="preserve">江苏省省级项目支出绩效自评价情况表 </w:t>
      </w:r>
    </w:p>
    <w:p>
      <w:pPr>
        <w:pStyle w:val="2"/>
        <w:spacing w:after="1"/>
        <w:ind w:left="0" w:right="121" w:firstLine="0"/>
        <w:rPr>
          <w:rFonts w:cs="黑体"/>
        </w:rPr>
      </w:pPr>
      <w:r>
        <w:rPr>
          <w:rFonts w:hint="eastAsia" w:cs="黑体"/>
          <w:sz w:val="30"/>
        </w:rPr>
        <w:t xml:space="preserve"> </w:t>
      </w:r>
    </w:p>
    <w:p>
      <w:pPr>
        <w:spacing w:after="3" w:line="320" w:lineRule="auto"/>
        <w:ind w:left="284" w:right="2670" w:hanging="10"/>
        <w:rPr>
          <w:rFonts w:ascii="宋体" w:hAnsi="宋体" w:eastAsia="宋体" w:cs="宋体"/>
          <w:sz w:val="18"/>
          <w:u w:val="single"/>
        </w:rPr>
      </w:pPr>
      <w:r>
        <w:rPr>
          <w:rFonts w:ascii="宋体" w:hAnsi="宋体" w:eastAsia="宋体" w:cs="宋体"/>
          <w:sz w:val="18"/>
        </w:rPr>
        <w:t>填报</w:t>
      </w:r>
      <w:r>
        <w:rPr>
          <w:rFonts w:hint="eastAsia" w:ascii="宋体" w:hAnsi="宋体" w:eastAsia="宋体" w:cs="宋体"/>
          <w:sz w:val="18"/>
          <w:lang w:val="en-US" w:eastAsia="zh-CN"/>
        </w:rPr>
        <w:t>单位</w:t>
      </w:r>
      <w:r>
        <w:rPr>
          <w:rFonts w:ascii="宋体" w:hAnsi="宋体" w:eastAsia="宋体" w:cs="宋体"/>
          <w:sz w:val="18"/>
        </w:rPr>
        <w:t>：</w:t>
      </w:r>
      <w:r>
        <w:rPr>
          <w:rFonts w:hint="eastAsia" w:ascii="宋体" w:hAnsi="宋体" w:eastAsia="宋体" w:cs="宋体"/>
          <w:sz w:val="18"/>
          <w:u w:val="single"/>
          <w:lang w:val="en-US" w:eastAsia="zh-CN"/>
        </w:rPr>
        <w:t>南京信息工程大学</w:t>
      </w:r>
    </w:p>
    <w:p>
      <w:pPr>
        <w:spacing w:after="3" w:line="320" w:lineRule="auto"/>
        <w:ind w:left="284" w:right="2670" w:hanging="10"/>
        <w:rPr>
          <w:rFonts w:ascii="宋体" w:hAnsi="宋体" w:eastAsia="宋体" w:cs="宋体"/>
          <w:sz w:val="18"/>
        </w:rPr>
      </w:pPr>
      <w:r>
        <w:rPr>
          <w:rFonts w:hint="eastAsia" w:ascii="宋体" w:hAnsi="宋体" w:eastAsia="宋体" w:cs="宋体"/>
          <w:sz w:val="18"/>
        </w:rPr>
        <w:t>项目名称：</w:t>
      </w:r>
      <w:r>
        <w:rPr>
          <w:rFonts w:hint="eastAsia" w:ascii="宋体" w:hAnsi="宋体" w:eastAsia="宋体" w:cs="宋体"/>
          <w:sz w:val="18"/>
          <w:u w:val="single"/>
          <w:lang w:val="en-US" w:eastAsia="zh-CN"/>
        </w:rPr>
        <w:t>办公</w:t>
      </w:r>
      <w:bookmarkStart w:id="1" w:name="_GoBack"/>
      <w:bookmarkEnd w:id="1"/>
      <w:r>
        <w:rPr>
          <w:rFonts w:hint="eastAsia" w:ascii="宋体" w:hAnsi="宋体" w:eastAsia="宋体" w:cs="宋体"/>
          <w:sz w:val="18"/>
          <w:u w:val="single"/>
        </w:rPr>
        <w:t>设备购置费</w:t>
      </w:r>
    </w:p>
    <w:p>
      <w:pPr>
        <w:spacing w:after="57" w:line="259" w:lineRule="auto"/>
        <w:ind w:left="284" w:right="0" w:hanging="10"/>
        <w:rPr>
          <w:u w:val="single"/>
        </w:rPr>
      </w:pPr>
      <w:r>
        <w:rPr>
          <w:rFonts w:ascii="宋体" w:hAnsi="宋体" w:eastAsia="宋体" w:cs="宋体"/>
          <w:sz w:val="18"/>
        </w:rPr>
        <w:t>实施年度：</w:t>
      </w:r>
      <w:r>
        <w:rPr>
          <w:rFonts w:hint="eastAsia" w:ascii="宋体" w:hAnsi="宋体" w:eastAsia="宋体" w:cs="宋体"/>
          <w:sz w:val="18"/>
          <w:u w:val="single"/>
        </w:rPr>
        <w:t xml:space="preserve">    2021   </w:t>
      </w:r>
      <w:r>
        <w:rPr>
          <w:rFonts w:ascii="宋体" w:hAnsi="宋体" w:eastAsia="宋体" w:cs="宋体"/>
          <w:sz w:val="18"/>
        </w:rPr>
        <w:t>实施开始时间（年/月）：</w:t>
      </w:r>
      <w:r>
        <w:rPr>
          <w:rFonts w:hint="eastAsia" w:ascii="宋体" w:hAnsi="宋体" w:eastAsia="宋体" w:cs="宋体"/>
          <w:sz w:val="18"/>
          <w:u w:val="single"/>
        </w:rPr>
        <w:t xml:space="preserve">   2021.1.01   </w:t>
      </w:r>
      <w:r>
        <w:rPr>
          <w:rFonts w:ascii="宋体" w:hAnsi="宋体" w:eastAsia="宋体" w:cs="宋体"/>
          <w:sz w:val="18"/>
        </w:rPr>
        <w:t>实施完成时间</w:t>
      </w:r>
      <w:r>
        <w:rPr>
          <w:rFonts w:hint="eastAsia" w:ascii="宋体" w:hAnsi="宋体" w:eastAsia="宋体" w:cs="宋体"/>
          <w:sz w:val="18"/>
        </w:rPr>
        <w:t>：</w:t>
      </w:r>
      <w:r>
        <w:rPr>
          <w:rFonts w:hint="eastAsia" w:ascii="宋体" w:hAnsi="宋体" w:eastAsia="宋体" w:cs="宋体"/>
          <w:sz w:val="18"/>
          <w:u w:val="single"/>
        </w:rPr>
        <w:t xml:space="preserve">  2021.12.31  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25"/>
          <w:right w:val="single" w:color="000000" w:sz="4" w:space="0"/>
        </w:pBdr>
        <w:spacing w:before="120" w:beforeLines="50" w:after="120" w:afterLines="50" w:line="259" w:lineRule="auto"/>
        <w:ind w:left="386" w:right="0" w:firstLine="0"/>
        <w:jc w:val="center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项目</w:t>
      </w:r>
      <w:r>
        <w:rPr>
          <w:rFonts w:ascii="黑体" w:hAnsi="黑体" w:eastAsia="黑体" w:cs="黑体"/>
          <w:sz w:val="24"/>
        </w:rPr>
        <w:t xml:space="preserve">自评价情况 </w:t>
      </w:r>
      <w:bookmarkEnd w:id="0"/>
    </w:p>
    <w:p>
      <w:pPr>
        <w:pBdr>
          <w:top w:val="single" w:color="000000" w:sz="4" w:space="0"/>
          <w:left w:val="single" w:color="000000" w:sz="4" w:space="19"/>
          <w:bottom w:val="single" w:color="000000" w:sz="4" w:space="25"/>
          <w:right w:val="single" w:color="000000" w:sz="4" w:space="0"/>
        </w:pBdr>
        <w:spacing w:before="120" w:beforeLines="50" w:after="120" w:afterLines="50" w:line="259" w:lineRule="auto"/>
        <w:ind w:left="386" w:right="0" w:firstLine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一、</w:t>
      </w:r>
      <w:r>
        <w:rPr>
          <w:rFonts w:ascii="宋体" w:hAnsi="宋体" w:eastAsia="宋体" w:cs="宋体"/>
          <w:sz w:val="24"/>
          <w:szCs w:val="24"/>
        </w:rPr>
        <w:t xml:space="preserve">项目概况（项目政策、资金分配使用、项目实施情况等） 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25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（一）项目政策依据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25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依据《中央行政单位通用办公设备家具配置标准》（财资</w:t>
      </w:r>
      <w:r>
        <w:rPr>
          <w:rFonts w:ascii="等线" w:hAnsi="等线" w:eastAsia="等线" w:cs="宋体"/>
          <w:sz w:val="24"/>
          <w:szCs w:val="24"/>
        </w:rPr>
        <w:t>[2016]27号</w:t>
      </w:r>
      <w:r>
        <w:rPr>
          <w:rFonts w:hint="eastAsia" w:ascii="等线" w:hAnsi="等线" w:eastAsia="等线" w:cs="宋体"/>
          <w:sz w:val="24"/>
          <w:szCs w:val="24"/>
        </w:rPr>
        <w:t>）、《江苏省省级行政事业单位通用办公设备和办公家具配置标准》（苏财规〔</w:t>
      </w:r>
      <w:r>
        <w:rPr>
          <w:rFonts w:ascii="等线" w:hAnsi="等线" w:eastAsia="等线" w:cs="宋体"/>
          <w:sz w:val="24"/>
          <w:szCs w:val="24"/>
        </w:rPr>
        <w:t>2017〕17号）</w:t>
      </w:r>
      <w:r>
        <w:rPr>
          <w:rFonts w:hint="eastAsia" w:ascii="等线" w:hAnsi="等线" w:eastAsia="等线" w:cs="宋体"/>
          <w:sz w:val="24"/>
          <w:szCs w:val="24"/>
        </w:rPr>
        <w:t>等文件规定要求，为保障全校日常行政办公，设立行政设备购置费。主要用于新进行政工作人员配置、到期报废办公设备的更换、学生公寓家具更新配置、其他相关专项活动、工作会议等设备保障。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25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（二）项目资产分配使用及实施情况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25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2021年，该项目资产购置总数达1893件，金额332.3万元，其中仪器仪表类配置占比9.70%，机电设备类配置占比3.73%，电子设备类配置占比22.66%，印刷机械类配置占比2.09%，卫生医疗器械类配置占比0.53%，家具类配置占比44.69%，行政办公设备类配置占比15.69%，被服装具类配置占比0.90%。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25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项目实施严格按照省以及学校相关招标采购管理办法执行相关立项、招标采购流程，严格履行国有固定资产入库流程，经费相关内容全部执行完成。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25"/>
          <w:right w:val="single" w:color="000000" w:sz="4" w:space="0"/>
        </w:pBdr>
        <w:spacing w:before="120" w:beforeLines="50" w:after="120" w:afterLines="50" w:line="259" w:lineRule="auto"/>
        <w:ind w:left="386" w:right="0" w:firstLine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二、</w:t>
      </w:r>
      <w:r>
        <w:rPr>
          <w:rFonts w:ascii="宋体" w:hAnsi="宋体" w:eastAsia="宋体" w:cs="宋体"/>
          <w:sz w:val="24"/>
          <w:szCs w:val="24"/>
        </w:rPr>
        <w:t xml:space="preserve">评价情况（评价思路、方式、做法，以及评价指标体系设置情况和评价结论等） 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25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（一）评价思路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25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根据《江苏省财政厅关于开展</w:t>
      </w:r>
      <w:r>
        <w:rPr>
          <w:rFonts w:ascii="等线" w:hAnsi="等线" w:eastAsia="等线" w:cs="宋体"/>
          <w:sz w:val="24"/>
          <w:szCs w:val="24"/>
        </w:rPr>
        <w:t>2022年省级财政支出绩效自评工作的通知》（苏财绩〔2022〕3号）的文件要求，结合</w:t>
      </w:r>
      <w:r>
        <w:rPr>
          <w:rFonts w:hint="eastAsia" w:ascii="等线" w:hAnsi="等线" w:eastAsia="等线" w:cs="宋体"/>
          <w:sz w:val="24"/>
          <w:szCs w:val="24"/>
        </w:rPr>
        <w:t>我校行政设备购置</w:t>
      </w:r>
      <w:r>
        <w:rPr>
          <w:rFonts w:ascii="等线" w:hAnsi="等线" w:eastAsia="等线" w:cs="宋体"/>
          <w:sz w:val="24"/>
          <w:szCs w:val="24"/>
        </w:rPr>
        <w:t>利用项目的工作实际，本</w:t>
      </w:r>
      <w:r>
        <w:rPr>
          <w:rFonts w:hint="eastAsia" w:ascii="等线" w:hAnsi="等线" w:eastAsia="等线" w:cs="宋体"/>
          <w:sz w:val="24"/>
          <w:szCs w:val="24"/>
        </w:rPr>
        <w:t>次绩效评价工作重点按照以下环节开展：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25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1</w:t>
      </w:r>
      <w:r>
        <w:rPr>
          <w:rFonts w:ascii="等线" w:hAnsi="等线" w:eastAsia="等线" w:cs="宋体"/>
          <w:sz w:val="24"/>
          <w:szCs w:val="24"/>
        </w:rPr>
        <w:t>.前期准备阶段。主要是</w:t>
      </w:r>
      <w:r>
        <w:rPr>
          <w:rFonts w:hint="eastAsia" w:ascii="等线" w:hAnsi="等线" w:eastAsia="等线" w:cs="宋体"/>
          <w:sz w:val="24"/>
          <w:szCs w:val="24"/>
        </w:rPr>
        <w:t>认真学习上级绩效评价</w:t>
      </w:r>
      <w:r>
        <w:rPr>
          <w:rFonts w:ascii="等线" w:hAnsi="等线" w:eastAsia="等线" w:cs="宋体"/>
          <w:sz w:val="24"/>
          <w:szCs w:val="24"/>
        </w:rPr>
        <w:t>工作方案，了解评价对象基本情况，确定绩效评价方式方法。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25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2</w:t>
      </w:r>
      <w:r>
        <w:rPr>
          <w:rFonts w:ascii="等线" w:hAnsi="等线" w:eastAsia="等线" w:cs="宋体"/>
          <w:sz w:val="24"/>
          <w:szCs w:val="24"/>
        </w:rPr>
        <w:t>.</w:t>
      </w:r>
      <w:r>
        <w:rPr>
          <w:rFonts w:hint="eastAsia" w:ascii="等线" w:hAnsi="等线" w:eastAsia="等线" w:cs="宋体"/>
          <w:sz w:val="24"/>
          <w:szCs w:val="24"/>
        </w:rPr>
        <w:t>评价指标体系设置。在前期准备的基础上，对照设置项目绩效评价指标体系，明确绩效评价指标的评价标准、评价方法及权重。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25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3</w:t>
      </w:r>
      <w:r>
        <w:rPr>
          <w:rFonts w:ascii="等线" w:hAnsi="等线" w:eastAsia="等线" w:cs="宋体"/>
          <w:sz w:val="24"/>
          <w:szCs w:val="24"/>
        </w:rPr>
        <w:t>.数据采集汇总。</w:t>
      </w:r>
      <w:r>
        <w:rPr>
          <w:rFonts w:hint="eastAsia" w:ascii="等线" w:hAnsi="等线" w:eastAsia="等线" w:cs="宋体"/>
          <w:sz w:val="24"/>
          <w:szCs w:val="24"/>
        </w:rPr>
        <w:t>认真学习学校《关于开展</w:t>
      </w:r>
      <w:r>
        <w:rPr>
          <w:rFonts w:ascii="等线" w:hAnsi="等线" w:eastAsia="等线" w:cs="宋体"/>
          <w:sz w:val="24"/>
          <w:szCs w:val="24"/>
        </w:rPr>
        <w:t>2022年省级财政支出绩效评价工作的通知》</w:t>
      </w:r>
      <w:r>
        <w:rPr>
          <w:rFonts w:hint="eastAsia" w:ascii="等线" w:hAnsi="等线" w:eastAsia="等线" w:cs="宋体"/>
          <w:sz w:val="24"/>
          <w:szCs w:val="24"/>
        </w:rPr>
        <w:t>内容并通知利用行政设备购置费申请购置设备的各二级单位</w:t>
      </w:r>
      <w:r>
        <w:rPr>
          <w:rFonts w:ascii="等线" w:hAnsi="等线" w:eastAsia="等线" w:cs="宋体"/>
          <w:sz w:val="24"/>
          <w:szCs w:val="24"/>
        </w:rPr>
        <w:t>，</w:t>
      </w:r>
      <w:r>
        <w:rPr>
          <w:rFonts w:hint="eastAsia" w:ascii="等线" w:hAnsi="等线" w:eastAsia="等线" w:cs="宋体"/>
          <w:sz w:val="24"/>
          <w:szCs w:val="24"/>
        </w:rPr>
        <w:t>参照通知内容附件，</w:t>
      </w:r>
      <w:r>
        <w:rPr>
          <w:rFonts w:ascii="等线" w:hAnsi="等线" w:eastAsia="等线" w:cs="宋体"/>
          <w:sz w:val="24"/>
          <w:szCs w:val="24"/>
        </w:rPr>
        <w:t>填报绩效评价自评表。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30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4</w:t>
      </w:r>
      <w:r>
        <w:rPr>
          <w:rFonts w:ascii="等线" w:hAnsi="等线" w:eastAsia="等线" w:cs="宋体"/>
          <w:sz w:val="24"/>
          <w:szCs w:val="24"/>
        </w:rPr>
        <w:t>.</w:t>
      </w:r>
      <w:r>
        <w:rPr>
          <w:rFonts w:hint="eastAsia" w:ascii="等线" w:hAnsi="等线" w:eastAsia="等线" w:cs="宋体"/>
          <w:sz w:val="24"/>
          <w:szCs w:val="24"/>
        </w:rPr>
        <w:t>汇总分析</w:t>
      </w:r>
      <w:r>
        <w:rPr>
          <w:rFonts w:ascii="等线" w:hAnsi="等线" w:eastAsia="等线" w:cs="宋体"/>
          <w:sz w:val="24"/>
          <w:szCs w:val="24"/>
        </w:rPr>
        <w:t>评价。汇</w:t>
      </w:r>
      <w:r>
        <w:rPr>
          <w:rFonts w:hint="eastAsia" w:ascii="等线" w:hAnsi="等线" w:eastAsia="等线" w:cs="宋体"/>
          <w:sz w:val="24"/>
          <w:szCs w:val="24"/>
        </w:rPr>
        <w:t>总分析绩效评价结果，形成绩效评价结论，就项目实施情况、绩效情况、存在问题、改进建议等方面编制绩效评价报告。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30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（二）指标体系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30"/>
          <w:right w:val="single" w:color="000000" w:sz="4" w:space="0"/>
        </w:pBdr>
        <w:spacing w:before="120" w:beforeLines="50" w:after="120" w:afterLines="50" w:line="240" w:lineRule="auto"/>
        <w:ind w:left="386" w:right="0" w:firstLine="480" w:firstLineChars="200"/>
        <w:rPr>
          <w:rFonts w:ascii="等线" w:hAnsi="等线" w:eastAsia="等线" w:cs="宋体"/>
          <w:sz w:val="24"/>
          <w:szCs w:val="24"/>
        </w:rPr>
      </w:pPr>
      <w:r>
        <w:rPr>
          <w:rFonts w:ascii="等线" w:hAnsi="等线" w:eastAsia="等线" w:cs="宋体"/>
          <w:sz w:val="24"/>
          <w:szCs w:val="24"/>
        </w:rPr>
        <w:t>项目预算绩效目标，采用</w:t>
      </w:r>
      <w:r>
        <w:rPr>
          <w:rFonts w:hint="eastAsia" w:ascii="等线" w:hAnsi="等线" w:eastAsia="等线" w:cs="宋体"/>
          <w:sz w:val="24"/>
          <w:szCs w:val="24"/>
        </w:rPr>
        <w:t>定量和定性相结合的比较法，并根据绩效实现情况设定。指标体系共设置决策、过程、产出、效益、满意度五</w:t>
      </w:r>
      <w:r>
        <w:rPr>
          <w:rFonts w:ascii="等线" w:hAnsi="等线" w:eastAsia="等线" w:cs="宋体"/>
          <w:sz w:val="24"/>
          <w:szCs w:val="24"/>
        </w:rPr>
        <w:t>个方面</w:t>
      </w:r>
      <w:r>
        <w:rPr>
          <w:rFonts w:hint="eastAsia" w:ascii="等线" w:hAnsi="等线" w:eastAsia="等线" w:cs="宋体"/>
          <w:sz w:val="24"/>
          <w:szCs w:val="24"/>
        </w:rPr>
        <w:t>25</w:t>
      </w:r>
      <w:r>
        <w:rPr>
          <w:rFonts w:ascii="等线" w:hAnsi="等线" w:eastAsia="等线" w:cs="宋体"/>
          <w:sz w:val="24"/>
          <w:szCs w:val="24"/>
        </w:rPr>
        <w:t>个具体评价指标，对各项具体指标权重进行了赋值</w:t>
      </w:r>
      <w:r>
        <w:rPr>
          <w:rFonts w:hint="eastAsia" w:ascii="等线" w:hAnsi="等线" w:eastAsia="等线" w:cs="宋体"/>
          <w:sz w:val="24"/>
          <w:szCs w:val="24"/>
        </w:rPr>
        <w:t>。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30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（三）评价结论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30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</w:t>
      </w:r>
      <w:r>
        <w:rPr>
          <w:rFonts w:ascii="等线" w:hAnsi="等线" w:eastAsia="等线" w:cs="宋体"/>
          <w:sz w:val="24"/>
          <w:szCs w:val="24"/>
        </w:rPr>
        <w:t>2021年度</w:t>
      </w:r>
      <w:r>
        <w:rPr>
          <w:rFonts w:hint="eastAsia" w:ascii="等线" w:hAnsi="等线" w:eastAsia="等线" w:cs="宋体"/>
          <w:sz w:val="24"/>
          <w:szCs w:val="24"/>
        </w:rPr>
        <w:t>行政设备购置费项目</w:t>
      </w:r>
      <w:r>
        <w:rPr>
          <w:rFonts w:ascii="等线" w:hAnsi="等线" w:eastAsia="等线" w:cs="宋体"/>
          <w:sz w:val="24"/>
          <w:szCs w:val="24"/>
        </w:rPr>
        <w:t>绩效自评价得分为100分，总体评价结果较好。项目立项、项目过程管理等程序完善，项目资金到位及时，预</w:t>
      </w:r>
      <w:r>
        <w:rPr>
          <w:rFonts w:hint="eastAsia" w:ascii="等线" w:hAnsi="等线" w:eastAsia="等线" w:cs="宋体"/>
          <w:sz w:val="24"/>
          <w:szCs w:val="24"/>
        </w:rPr>
        <w:t>算执行较为规范，各项任务与绩效目标基本完成，项目产出效益明显。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30"/>
          <w:right w:val="single" w:color="000000" w:sz="4" w:space="0"/>
        </w:pBdr>
        <w:spacing w:before="120" w:beforeLines="50" w:after="120" w:afterLines="50" w:line="259" w:lineRule="auto"/>
        <w:ind w:left="386" w:right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</w:t>
      </w:r>
      <w:r>
        <w:rPr>
          <w:rFonts w:ascii="宋体" w:hAnsi="宋体" w:eastAsia="宋体" w:cs="宋体"/>
          <w:sz w:val="24"/>
          <w:szCs w:val="24"/>
        </w:rPr>
        <w:t xml:space="preserve">项目绩效（通过绩效评价发现、总结的项目绩效） 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30"/>
          <w:right w:val="single" w:color="000000" w:sz="4" w:space="0"/>
        </w:pBdr>
        <w:spacing w:before="120" w:beforeLines="50" w:after="120" w:afterLines="50" w:line="259" w:lineRule="auto"/>
        <w:ind w:left="386" w:right="0" w:firstLine="480" w:firstLineChars="20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>（一）</w:t>
      </w:r>
      <w:r>
        <w:rPr>
          <w:rFonts w:ascii="等线" w:hAnsi="等线" w:eastAsia="等线" w:cs="宋体"/>
          <w:sz w:val="24"/>
          <w:szCs w:val="24"/>
        </w:rPr>
        <w:t>决策方面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30"/>
          <w:right w:val="single" w:color="000000" w:sz="4" w:space="0"/>
        </w:pBdr>
        <w:spacing w:before="120" w:beforeLines="50" w:after="120" w:afterLines="50" w:line="259" w:lineRule="auto"/>
        <w:ind w:left="386" w:right="0" w:firstLine="480" w:firstLineChars="20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项目立项规范，严格按照《南京信息工程大学招标项目立项管理办法》（校发</w:t>
      </w:r>
      <w:r>
        <w:rPr>
          <w:rFonts w:ascii="等线" w:hAnsi="等线" w:eastAsia="等线" w:cs="宋体"/>
          <w:sz w:val="24"/>
          <w:szCs w:val="24"/>
        </w:rPr>
        <w:t>［2021］85号</w:t>
      </w:r>
      <w:r>
        <w:rPr>
          <w:rFonts w:hint="eastAsia" w:ascii="等线" w:hAnsi="等线" w:eastAsia="等线" w:cs="宋体"/>
          <w:sz w:val="24"/>
          <w:szCs w:val="24"/>
        </w:rPr>
        <w:t>）文件规定执行申请立项。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30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（二</w:t>
      </w:r>
      <w:r>
        <w:rPr>
          <w:rFonts w:ascii="等线" w:hAnsi="等线" w:eastAsia="等线" w:cs="宋体"/>
          <w:sz w:val="24"/>
          <w:szCs w:val="24"/>
        </w:rPr>
        <w:t>）过程方面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30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</w:t>
      </w:r>
      <w:r>
        <w:rPr>
          <w:rFonts w:ascii="等线" w:hAnsi="等线" w:eastAsia="等线" w:cs="宋体"/>
          <w:sz w:val="24"/>
          <w:szCs w:val="24"/>
        </w:rPr>
        <w:t>明确规定了项目在方案编制、方案批复、运行监控、项目验收</w:t>
      </w:r>
      <w:r>
        <w:rPr>
          <w:rFonts w:hint="eastAsia" w:ascii="等线" w:hAnsi="等线" w:eastAsia="等线" w:cs="宋体"/>
          <w:sz w:val="24"/>
          <w:szCs w:val="24"/>
        </w:rPr>
        <w:t>等</w:t>
      </w:r>
      <w:r>
        <w:rPr>
          <w:rFonts w:ascii="等线" w:hAnsi="等线" w:eastAsia="等线" w:cs="宋体"/>
          <w:sz w:val="24"/>
          <w:szCs w:val="24"/>
        </w:rPr>
        <w:t>方面的管理要求。</w:t>
      </w:r>
      <w:r>
        <w:rPr>
          <w:rFonts w:hint="eastAsia" w:ascii="等线" w:hAnsi="等线" w:eastAsia="等线" w:cs="宋体"/>
          <w:sz w:val="24"/>
          <w:szCs w:val="24"/>
        </w:rPr>
        <w:t>使用行政设备购置费购置的各</w:t>
      </w:r>
      <w:r>
        <w:rPr>
          <w:rFonts w:ascii="等线" w:hAnsi="等线" w:eastAsia="等线" w:cs="宋体"/>
          <w:sz w:val="24"/>
          <w:szCs w:val="24"/>
        </w:rPr>
        <w:t>项目都按规定编制</w:t>
      </w:r>
      <w:r>
        <w:rPr>
          <w:rFonts w:hint="eastAsia" w:ascii="等线" w:hAnsi="等线" w:eastAsia="等线" w:cs="宋体"/>
          <w:sz w:val="24"/>
          <w:szCs w:val="24"/>
        </w:rPr>
        <w:t>了项目实施方案，实施方案经归口管理单位正式批复实施，</w:t>
      </w:r>
      <w:r>
        <w:rPr>
          <w:rFonts w:ascii="等线" w:hAnsi="等线" w:eastAsia="等线" w:cs="宋体"/>
          <w:sz w:val="24"/>
          <w:szCs w:val="24"/>
        </w:rPr>
        <w:t>对所有项目进行运行监控并现</w:t>
      </w:r>
      <w:r>
        <w:rPr>
          <w:rFonts w:hint="eastAsia" w:ascii="等线" w:hAnsi="等线" w:eastAsia="等线" w:cs="宋体"/>
          <w:sz w:val="24"/>
          <w:szCs w:val="24"/>
        </w:rPr>
        <w:t>场核查。同时在资产入库管理方面，严格审核、严格把控，做到从头到尾的全过程管理。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30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（三</w:t>
      </w:r>
      <w:r>
        <w:rPr>
          <w:rFonts w:ascii="等线" w:hAnsi="等线" w:eastAsia="等线" w:cs="宋体"/>
          <w:sz w:val="24"/>
          <w:szCs w:val="24"/>
        </w:rPr>
        <w:t>）产出方面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30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行政设备购置项目产出实际完成率基本达到或超过绩效目标，质量达标率良好，产出成本可控。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30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（四</w:t>
      </w:r>
      <w:r>
        <w:rPr>
          <w:rFonts w:ascii="等线" w:hAnsi="等线" w:eastAsia="等线" w:cs="宋体"/>
          <w:sz w:val="24"/>
          <w:szCs w:val="24"/>
        </w:rPr>
        <w:t>）效益方面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30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项目实施产生了良好的社会效益、经济效益、生态效益，具备一定的可持续影响等，推动了全校的发展。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30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（五</w:t>
      </w:r>
      <w:r>
        <w:rPr>
          <w:rFonts w:ascii="等线" w:hAnsi="等线" w:eastAsia="等线" w:cs="宋体"/>
          <w:sz w:val="24"/>
          <w:szCs w:val="24"/>
        </w:rPr>
        <w:t>）满意度方面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30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根据项目各环节的实施到最后校内用户使用，重视每一个环节的用户反映，项目实施验收均圆满通过，师生在一键通等相关渠道表达了对项目实施的满意。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30"/>
          <w:right w:val="single" w:color="000000" w:sz="4" w:space="0"/>
        </w:pBdr>
        <w:spacing w:before="120" w:beforeLines="50" w:after="120" w:afterLines="50" w:line="259" w:lineRule="auto"/>
        <w:ind w:left="386" w:right="0" w:firstLine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四、</w:t>
      </w:r>
      <w:r>
        <w:rPr>
          <w:rFonts w:ascii="宋体" w:hAnsi="宋体" w:eastAsia="宋体" w:cs="宋体"/>
          <w:sz w:val="24"/>
          <w:szCs w:val="24"/>
        </w:rPr>
        <w:t xml:space="preserve">存在问题（通过绩效评价所发现的问题，原则上按照决策、过程、产出、效益分别归类分条撰写） 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30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评价指标数据采集难度大成本高，部分定量指标的自评价数据来源非官方统计数据等法定渠道，数据采集难度大，数据可靠性验证花费时间长。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30"/>
          <w:right w:val="single" w:color="000000" w:sz="4" w:space="0"/>
        </w:pBdr>
        <w:spacing w:before="120" w:beforeLines="50" w:after="120" w:afterLines="50" w:line="259" w:lineRule="auto"/>
        <w:ind w:left="386" w:right="0" w:firstLine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五、</w:t>
      </w:r>
      <w:r>
        <w:rPr>
          <w:rFonts w:ascii="宋体" w:hAnsi="宋体" w:eastAsia="宋体" w:cs="宋体"/>
          <w:sz w:val="24"/>
          <w:szCs w:val="24"/>
        </w:rPr>
        <w:t>有关建议（针对存在的问题，分别提出相关完善或整改建议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30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（一）</w:t>
      </w:r>
      <w:r>
        <w:rPr>
          <w:rFonts w:ascii="等线" w:hAnsi="等线" w:eastAsia="等线" w:cs="宋体"/>
          <w:sz w:val="24"/>
          <w:szCs w:val="24"/>
        </w:rPr>
        <w:t>加快研究制定绩效自评价目标和指标库，明确每项评价指标的数据来源和支撑材料目录。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7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（二）</w:t>
      </w:r>
      <w:r>
        <w:rPr>
          <w:rFonts w:ascii="等线" w:hAnsi="等线" w:eastAsia="等线" w:cs="宋体"/>
          <w:sz w:val="24"/>
          <w:szCs w:val="24"/>
        </w:rPr>
        <w:t>通过信息化手段解决数据采集效率与标准化问题，减少报送层级与汇总工作量，降低数据误差率。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7"/>
          <w:right w:val="single" w:color="000000" w:sz="4" w:space="0"/>
        </w:pBdr>
        <w:spacing w:before="120" w:beforeLines="50" w:after="120" w:afterLines="50" w:line="240" w:lineRule="auto"/>
        <w:ind w:left="386" w:right="0" w:firstLine="0"/>
        <w:rPr>
          <w:rFonts w:ascii="等线" w:hAnsi="等线" w:eastAsia="等线" w:cs="宋体"/>
          <w:sz w:val="24"/>
          <w:szCs w:val="24"/>
        </w:rPr>
      </w:pPr>
      <w:r>
        <w:rPr>
          <w:rFonts w:hint="eastAsia" w:ascii="等线" w:hAnsi="等线" w:eastAsia="等线" w:cs="宋体"/>
          <w:sz w:val="24"/>
          <w:szCs w:val="24"/>
        </w:rPr>
        <w:t xml:space="preserve">    （三）</w:t>
      </w:r>
      <w:r>
        <w:rPr>
          <w:rFonts w:ascii="等线" w:hAnsi="等线" w:eastAsia="等线" w:cs="宋体"/>
          <w:sz w:val="24"/>
          <w:szCs w:val="24"/>
        </w:rPr>
        <w:t>进一步加大绩效管理力度。采取多种形式、多渠道，加大对</w:t>
      </w:r>
      <w:r>
        <w:rPr>
          <w:rFonts w:hint="eastAsia" w:ascii="等线" w:hAnsi="等线" w:eastAsia="等线" w:cs="宋体"/>
          <w:sz w:val="24"/>
          <w:szCs w:val="24"/>
        </w:rPr>
        <w:t>相关经费</w:t>
      </w:r>
      <w:r>
        <w:rPr>
          <w:rFonts w:ascii="等线" w:hAnsi="等线" w:eastAsia="等线" w:cs="宋体"/>
          <w:sz w:val="24"/>
          <w:szCs w:val="24"/>
        </w:rPr>
        <w:t>主管部门全面预算绩效管理培训，重点围绕绩效运行监控和绩效评价，梳理流程、讲解指</w:t>
      </w:r>
      <w:r>
        <w:rPr>
          <w:rFonts w:hint="eastAsia" w:ascii="等线" w:hAnsi="等线" w:eastAsia="等线" w:cs="宋体"/>
          <w:sz w:val="24"/>
          <w:szCs w:val="24"/>
        </w:rPr>
        <w:t>标、明确要求，以提高校归口单位及二级单位理解力、执行力，确保绩效工作开展顺畅和数据采集精准。</w:t>
      </w:r>
    </w:p>
    <w:p>
      <w:pPr>
        <w:pBdr>
          <w:top w:val="single" w:color="000000" w:sz="4" w:space="0"/>
          <w:left w:val="single" w:color="000000" w:sz="4" w:space="19"/>
          <w:bottom w:val="single" w:color="000000" w:sz="4" w:space="7"/>
          <w:right w:val="single" w:color="000000" w:sz="4" w:space="0"/>
        </w:pBdr>
        <w:spacing w:before="120" w:beforeLines="50" w:after="120" w:afterLines="50" w:line="259" w:lineRule="auto"/>
        <w:ind w:left="386" w:right="0" w:firstLine="0"/>
        <w:rPr>
          <w:rFonts w:ascii="宋体" w:hAnsi="宋体" w:eastAsia="宋体" w:cs="宋体"/>
          <w:sz w:val="24"/>
          <w:szCs w:val="24"/>
        </w:rPr>
      </w:pPr>
    </w:p>
    <w:sectPr>
      <w:headerReference r:id="rId3" w:type="default"/>
      <w:pgSz w:w="11906" w:h="16838"/>
      <w:pgMar w:top="756" w:right="1404" w:bottom="1333" w:left="1527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A11630"/>
    <w:rsid w:val="000B3A57"/>
    <w:rsid w:val="000B5865"/>
    <w:rsid w:val="00254D43"/>
    <w:rsid w:val="00323496"/>
    <w:rsid w:val="00336A1F"/>
    <w:rsid w:val="003456A9"/>
    <w:rsid w:val="003C36F3"/>
    <w:rsid w:val="003D53DD"/>
    <w:rsid w:val="003F2E7F"/>
    <w:rsid w:val="00424358"/>
    <w:rsid w:val="00453E1B"/>
    <w:rsid w:val="00487E12"/>
    <w:rsid w:val="004E4376"/>
    <w:rsid w:val="0063453F"/>
    <w:rsid w:val="007531E1"/>
    <w:rsid w:val="007E1F2C"/>
    <w:rsid w:val="00816EBF"/>
    <w:rsid w:val="00827553"/>
    <w:rsid w:val="00A1007D"/>
    <w:rsid w:val="00AB71BF"/>
    <w:rsid w:val="00B43773"/>
    <w:rsid w:val="00B66671"/>
    <w:rsid w:val="00C42602"/>
    <w:rsid w:val="00C931EF"/>
    <w:rsid w:val="00CB604B"/>
    <w:rsid w:val="00D04FB0"/>
    <w:rsid w:val="00EB42A2"/>
    <w:rsid w:val="00F83637"/>
    <w:rsid w:val="00FB0C6D"/>
    <w:rsid w:val="04454FF9"/>
    <w:rsid w:val="04792B65"/>
    <w:rsid w:val="06533B18"/>
    <w:rsid w:val="09F41D6D"/>
    <w:rsid w:val="0A7143B7"/>
    <w:rsid w:val="0BE35482"/>
    <w:rsid w:val="0C3C0F67"/>
    <w:rsid w:val="0D86267D"/>
    <w:rsid w:val="0FE648B3"/>
    <w:rsid w:val="11E418DD"/>
    <w:rsid w:val="124F2240"/>
    <w:rsid w:val="12DA6C8D"/>
    <w:rsid w:val="140D1E52"/>
    <w:rsid w:val="14490FCF"/>
    <w:rsid w:val="1D0972F5"/>
    <w:rsid w:val="21370009"/>
    <w:rsid w:val="2862484D"/>
    <w:rsid w:val="296422FE"/>
    <w:rsid w:val="29BE197D"/>
    <w:rsid w:val="2FDD1B30"/>
    <w:rsid w:val="31574787"/>
    <w:rsid w:val="32EB4F53"/>
    <w:rsid w:val="38B31028"/>
    <w:rsid w:val="3C2C772F"/>
    <w:rsid w:val="3C7D574B"/>
    <w:rsid w:val="3EA11630"/>
    <w:rsid w:val="3F381A93"/>
    <w:rsid w:val="412E437B"/>
    <w:rsid w:val="42F700B5"/>
    <w:rsid w:val="43774E65"/>
    <w:rsid w:val="46BC6E4E"/>
    <w:rsid w:val="47403491"/>
    <w:rsid w:val="48EA58AA"/>
    <w:rsid w:val="49297B48"/>
    <w:rsid w:val="4E8A438A"/>
    <w:rsid w:val="52901C7B"/>
    <w:rsid w:val="5478286F"/>
    <w:rsid w:val="56EE4E96"/>
    <w:rsid w:val="577B56B2"/>
    <w:rsid w:val="598E66B2"/>
    <w:rsid w:val="59F07161"/>
    <w:rsid w:val="5C0D4FD0"/>
    <w:rsid w:val="5DE20C8B"/>
    <w:rsid w:val="62AD6D24"/>
    <w:rsid w:val="64636133"/>
    <w:rsid w:val="64EC5A88"/>
    <w:rsid w:val="66C12665"/>
    <w:rsid w:val="68820BD7"/>
    <w:rsid w:val="698C0CBF"/>
    <w:rsid w:val="6A762C24"/>
    <w:rsid w:val="6A8A1560"/>
    <w:rsid w:val="6A9C7C12"/>
    <w:rsid w:val="70981A9D"/>
    <w:rsid w:val="715A1923"/>
    <w:rsid w:val="73F40AC2"/>
    <w:rsid w:val="758B358A"/>
    <w:rsid w:val="78536D3C"/>
    <w:rsid w:val="79C9291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341" w:lineRule="auto"/>
      <w:ind w:right="122" w:firstLine="640"/>
    </w:pPr>
    <w:rPr>
      <w:rFonts w:ascii="微软雅黑" w:hAnsi="微软雅黑" w:eastAsia="微软雅黑" w:cs="微软雅黑"/>
      <w:color w:val="000000"/>
      <w:kern w:val="2"/>
      <w:sz w:val="32"/>
      <w:szCs w:val="22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spacing w:after="98" w:line="259" w:lineRule="auto"/>
      <w:ind w:left="10" w:right="123" w:hanging="10"/>
      <w:jc w:val="center"/>
      <w:outlineLvl w:val="1"/>
    </w:pPr>
    <w:rPr>
      <w:rFonts w:ascii="黑体" w:hAnsi="黑体" w:eastAsia="黑体" w:cs="Times New Roman"/>
      <w:color w:val="000000"/>
      <w:sz w:val="36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脚 字符"/>
    <w:basedOn w:val="5"/>
    <w:link w:val="3"/>
    <w:qFormat/>
    <w:uiPriority w:val="0"/>
    <w:rPr>
      <w:rFonts w:ascii="微软雅黑" w:hAnsi="微软雅黑" w:eastAsia="微软雅黑" w:cs="微软雅黑"/>
      <w:color w:val="000000"/>
      <w:kern w:val="2"/>
      <w:sz w:val="18"/>
      <w:szCs w:val="18"/>
    </w:rPr>
  </w:style>
  <w:style w:type="paragraph" w:customStyle="1" w:styleId="8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307</Words>
  <Characters>1755</Characters>
  <Lines>14</Lines>
  <Paragraphs>4</Paragraphs>
  <ScaleCrop>false</ScaleCrop>
  <LinksUpToDate>false</LinksUpToDate>
  <CharactersWithSpaces>2058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2022-05-12T09:13:00Z</dcterms:created>
  <dc:creator>Administrator</dc:creator>
  <cp:lastModifiedBy>Administrator</cp:lastModifiedBy>
  <dcterms:modified xsi:type="dcterms:W3CDTF">2022-06-14T07:21:33Z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